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7EB2">
      <w:pPr>
        <w:spacing w:line="360" w:lineRule="auto"/>
        <w:ind w:left="0" w:leftChars="0" w:firstLine="0" w:firstLineChars="0"/>
        <w:jc w:val="left"/>
        <w:outlineLvl w:val="1"/>
        <w:rPr>
          <w:rFonts w:hint="default" w:ascii="仿宋" w:hAnsi="仿宋" w:eastAsia="仿宋" w:cs="仿宋"/>
          <w:color w:val="auto"/>
          <w:lang w:val="en-US" w:eastAsia="zh-CN"/>
        </w:rPr>
      </w:pPr>
      <w:r>
        <w:rPr>
          <w:rFonts w:hint="eastAsia" w:ascii="仿宋" w:hAnsi="仿宋" w:eastAsia="仿宋" w:cs="仿宋"/>
          <w:b/>
          <w:bCs/>
          <w:color w:val="auto"/>
          <w:lang w:val="en-US" w:eastAsia="zh-CN"/>
        </w:rPr>
        <w:t>附件1</w:t>
      </w:r>
    </w:p>
    <w:p w14:paraId="483716D8">
      <w:pPr>
        <w:spacing w:line="360" w:lineRule="auto"/>
        <w:jc w:val="center"/>
        <w:outlineLvl w:val="9"/>
        <w:rPr>
          <w:rFonts w:hint="eastAsia" w:ascii="仿宋" w:hAnsi="仿宋" w:eastAsia="仿宋" w:cs="仿宋"/>
          <w:b/>
          <w:bCs/>
          <w:color w:val="auto"/>
          <w:sz w:val="48"/>
          <w:szCs w:val="48"/>
          <w:lang w:val="en-US" w:eastAsia="zh-CN"/>
        </w:rPr>
      </w:pPr>
    </w:p>
    <w:p w14:paraId="26F025A2">
      <w:pPr>
        <w:spacing w:line="360" w:lineRule="auto"/>
        <w:jc w:val="center"/>
        <w:outlineLvl w:val="9"/>
        <w:rPr>
          <w:rFonts w:hint="eastAsia" w:ascii="仿宋" w:hAnsi="仿宋" w:eastAsia="仿宋" w:cs="仿宋"/>
          <w:b/>
          <w:bCs/>
          <w:color w:val="auto"/>
          <w:sz w:val="44"/>
          <w:szCs w:val="44"/>
          <w:u w:val="none"/>
          <w:lang w:eastAsia="zh-CN"/>
        </w:rPr>
      </w:pPr>
      <w:r>
        <w:rPr>
          <w:rFonts w:hint="eastAsia" w:ascii="仿宋" w:hAnsi="仿宋" w:eastAsia="仿宋" w:cs="仿宋"/>
          <w:b/>
          <w:bCs/>
          <w:color w:val="auto"/>
          <w:sz w:val="48"/>
          <w:szCs w:val="48"/>
          <w:lang w:val="en-US" w:eastAsia="zh-CN"/>
        </w:rPr>
        <w:t>乐山市创建2025年中小企业数字化转型城市试点辅导服务项目采购代理机构</w:t>
      </w:r>
    </w:p>
    <w:p w14:paraId="480206F4">
      <w:pPr>
        <w:jc w:val="center"/>
        <w:rPr>
          <w:rFonts w:hint="eastAsia" w:ascii="仿宋" w:hAnsi="仿宋" w:eastAsia="仿宋" w:cs="仿宋"/>
          <w:b/>
          <w:bCs/>
          <w:color w:val="auto"/>
          <w:sz w:val="44"/>
          <w:szCs w:val="44"/>
          <w:u w:val="none"/>
          <w:lang w:eastAsia="zh-CN"/>
        </w:rPr>
      </w:pPr>
    </w:p>
    <w:p w14:paraId="0D363B2D">
      <w:pPr>
        <w:pStyle w:val="2"/>
        <w:ind w:left="0" w:leftChars="0" w:firstLine="0" w:firstLineChars="0"/>
        <w:rPr>
          <w:rFonts w:hint="eastAsia" w:ascii="仿宋" w:hAnsi="仿宋" w:eastAsia="仿宋" w:cs="仿宋"/>
          <w:color w:val="auto"/>
          <w:lang w:eastAsia="zh-CN"/>
        </w:rPr>
      </w:pPr>
    </w:p>
    <w:p w14:paraId="579BC4A5">
      <w:pPr>
        <w:spacing w:line="360" w:lineRule="auto"/>
        <w:ind w:left="0" w:leftChars="0" w:firstLine="0" w:firstLineChars="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报</w:t>
      </w:r>
    </w:p>
    <w:p w14:paraId="603C85CB">
      <w:pPr>
        <w:jc w:val="center"/>
        <w:rPr>
          <w:rFonts w:hint="eastAsia" w:ascii="仿宋" w:hAnsi="仿宋" w:eastAsia="仿宋" w:cs="仿宋"/>
          <w:b w:val="0"/>
          <w:bCs w:val="0"/>
          <w:color w:val="auto"/>
          <w:sz w:val="56"/>
          <w:szCs w:val="56"/>
          <w:u w:val="none"/>
          <w:lang w:eastAsia="zh-CN"/>
        </w:rPr>
      </w:pPr>
    </w:p>
    <w:p w14:paraId="7ACE9C78">
      <w:pPr>
        <w:spacing w:line="360" w:lineRule="auto"/>
        <w:ind w:left="0" w:leftChars="0" w:firstLine="0" w:firstLineChars="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价</w:t>
      </w:r>
    </w:p>
    <w:p w14:paraId="752A99FF">
      <w:pPr>
        <w:jc w:val="center"/>
        <w:rPr>
          <w:rFonts w:hint="eastAsia" w:ascii="仿宋" w:hAnsi="仿宋" w:eastAsia="仿宋" w:cs="仿宋"/>
          <w:b w:val="0"/>
          <w:bCs w:val="0"/>
          <w:color w:val="auto"/>
          <w:sz w:val="56"/>
          <w:szCs w:val="56"/>
          <w:u w:val="none"/>
          <w:lang w:eastAsia="zh-CN"/>
        </w:rPr>
      </w:pPr>
    </w:p>
    <w:p w14:paraId="39472909">
      <w:pPr>
        <w:spacing w:line="360" w:lineRule="auto"/>
        <w:ind w:left="0" w:leftChars="0" w:firstLine="0" w:firstLineChars="0"/>
        <w:jc w:val="center"/>
        <w:rPr>
          <w:rFonts w:hint="eastAsia" w:ascii="仿宋" w:hAnsi="仿宋" w:eastAsia="仿宋" w:cs="仿宋"/>
          <w:b/>
          <w:bCs/>
          <w:color w:val="auto"/>
          <w:sz w:val="52"/>
          <w:szCs w:val="52"/>
          <w:lang w:val="en-US" w:eastAsia="zh-CN"/>
        </w:rPr>
      </w:pPr>
      <w:r>
        <w:rPr>
          <w:rFonts w:hint="eastAsia" w:ascii="仿宋" w:hAnsi="仿宋" w:eastAsia="仿宋" w:cs="仿宋"/>
          <w:b/>
          <w:bCs/>
          <w:color w:val="auto"/>
          <w:sz w:val="52"/>
          <w:szCs w:val="52"/>
          <w:lang w:val="en-US" w:eastAsia="zh-CN"/>
        </w:rPr>
        <w:t>函</w:t>
      </w:r>
    </w:p>
    <w:p w14:paraId="5A7AC3B1">
      <w:pPr>
        <w:pStyle w:val="2"/>
        <w:jc w:val="center"/>
        <w:rPr>
          <w:rFonts w:hint="eastAsia" w:ascii="仿宋" w:hAnsi="仿宋" w:eastAsia="仿宋" w:cs="仿宋"/>
          <w:color w:val="auto"/>
          <w:lang w:val="en-US" w:eastAsia="zh-CN"/>
        </w:rPr>
      </w:pPr>
    </w:p>
    <w:p w14:paraId="0F6E0EF2">
      <w:pPr>
        <w:pStyle w:val="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供应商名称：XXXXX</w:t>
      </w:r>
    </w:p>
    <w:p w14:paraId="79EA0380">
      <w:pPr>
        <w:pStyle w:val="2"/>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日期：XXX</w:t>
      </w:r>
    </w:p>
    <w:p w14:paraId="6A6925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r>
        <w:rPr>
          <w:rFonts w:hint="eastAsia" w:ascii="仿宋" w:hAnsi="仿宋" w:eastAsia="仿宋" w:cs="仿宋"/>
          <w:b/>
          <w:bCs/>
          <w:color w:val="auto"/>
          <w:lang w:val="en-US" w:eastAsia="zh-CN"/>
        </w:rPr>
        <w:t>（一）</w:t>
      </w:r>
      <w:r>
        <w:rPr>
          <w:rFonts w:hint="eastAsia" w:ascii="仿宋" w:hAnsi="仿宋" w:eastAsia="仿宋" w:cs="仿宋"/>
          <w:b/>
          <w:bCs/>
          <w:color w:val="auto"/>
          <w:kern w:val="2"/>
          <w:sz w:val="32"/>
          <w:szCs w:val="24"/>
          <w:lang w:val="en-US" w:eastAsia="zh-CN" w:bidi="ar-SA"/>
        </w:rPr>
        <w:t>营业执照复印件</w:t>
      </w:r>
    </w:p>
    <w:p w14:paraId="02AAB2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32"/>
          <w:szCs w:val="24"/>
          <w:lang w:val="en-US" w:eastAsia="zh-CN" w:bidi="ar-SA"/>
        </w:rPr>
      </w:pPr>
    </w:p>
    <w:p w14:paraId="24C6D9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b/>
          <w:bCs/>
          <w:color w:val="auto"/>
          <w:kern w:val="2"/>
          <w:sz w:val="32"/>
          <w:szCs w:val="24"/>
          <w:lang w:val="en-US" w:eastAsia="zh-CN" w:bidi="ar-SA"/>
        </w:rPr>
      </w:pPr>
      <w:r>
        <w:rPr>
          <w:rFonts w:hint="eastAsia" w:ascii="仿宋" w:hAnsi="仿宋" w:eastAsia="仿宋" w:cs="仿宋"/>
          <w:b w:val="0"/>
          <w:bCs w:val="0"/>
          <w:color w:val="auto"/>
          <w:kern w:val="2"/>
          <w:sz w:val="32"/>
          <w:szCs w:val="24"/>
          <w:lang w:val="en-US" w:eastAsia="zh-CN" w:bidi="ar-SA"/>
        </w:rPr>
        <w:br w:type="page"/>
      </w:r>
      <w:r>
        <w:rPr>
          <w:rFonts w:hint="eastAsia" w:ascii="仿宋" w:hAnsi="仿宋" w:eastAsia="仿宋" w:cs="仿宋"/>
          <w:b/>
          <w:bCs/>
          <w:color w:val="auto"/>
          <w:kern w:val="2"/>
          <w:sz w:val="32"/>
          <w:szCs w:val="24"/>
          <w:lang w:val="en-US" w:eastAsia="zh-CN" w:bidi="ar-SA"/>
        </w:rPr>
        <w:t>（二）资质证明材料（提供四川政府采购网上备案证明材料）</w:t>
      </w:r>
    </w:p>
    <w:p w14:paraId="61FA9A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仿宋" w:hAnsi="仿宋" w:eastAsia="仿宋" w:cs="仿宋"/>
          <w:b w:val="0"/>
          <w:bCs w:val="0"/>
          <w:color w:val="auto"/>
          <w:kern w:val="2"/>
          <w:sz w:val="32"/>
          <w:szCs w:val="24"/>
          <w:lang w:val="en-US" w:eastAsia="zh-CN" w:bidi="ar-SA"/>
        </w:rPr>
      </w:pPr>
      <w:r>
        <w:rPr>
          <w:rFonts w:hint="eastAsia" w:ascii="仿宋" w:hAnsi="仿宋" w:eastAsia="仿宋" w:cs="仿宋"/>
          <w:b w:val="0"/>
          <w:bCs w:val="0"/>
          <w:color w:val="auto"/>
          <w:kern w:val="2"/>
          <w:sz w:val="32"/>
          <w:szCs w:val="24"/>
          <w:lang w:val="en-US" w:eastAsia="zh-CN" w:bidi="ar-SA"/>
        </w:rPr>
        <w:br w:type="page"/>
      </w:r>
      <w:r>
        <w:rPr>
          <w:rFonts w:hint="eastAsia" w:ascii="仿宋" w:hAnsi="仿宋" w:eastAsia="仿宋" w:cs="仿宋"/>
          <w:b/>
          <w:bCs/>
          <w:color w:val="auto"/>
          <w:kern w:val="2"/>
          <w:sz w:val="32"/>
          <w:szCs w:val="24"/>
          <w:lang w:val="en-US" w:eastAsia="zh-CN" w:bidi="ar-SA"/>
        </w:rPr>
        <w:t>（三）法定代表人授权委托书</w:t>
      </w:r>
    </w:p>
    <w:p w14:paraId="3322E9A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乐山市经济和信息化局：</w:t>
      </w:r>
    </w:p>
    <w:p w14:paraId="658FB47C">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本授权声明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 w:val="0"/>
          <w:bCs w:val="0"/>
          <w:color w:val="auto"/>
          <w:kern w:val="2"/>
          <w:sz w:val="32"/>
          <w:szCs w:val="32"/>
          <w:lang w:val="en-US" w:eastAsia="zh-CN" w:bidi="ar-SA"/>
        </w:rPr>
        <w:t>（单位名称）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 w:val="0"/>
          <w:bCs w:val="0"/>
          <w:color w:val="auto"/>
          <w:kern w:val="2"/>
          <w:sz w:val="32"/>
          <w:szCs w:val="32"/>
          <w:lang w:val="en-US" w:eastAsia="zh-CN" w:bidi="ar-SA"/>
        </w:rPr>
        <w:t>（法定代表人姓名、职务）授权</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b w:val="0"/>
          <w:bCs w:val="0"/>
          <w:color w:val="auto"/>
          <w:kern w:val="2"/>
          <w:sz w:val="32"/>
          <w:szCs w:val="32"/>
          <w:lang w:val="en-US" w:eastAsia="zh-CN" w:bidi="ar-SA"/>
        </w:rPr>
        <w:t>被授权人姓名、职务）为我方参加</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b w:val="0"/>
          <w:bCs w:val="0"/>
          <w:color w:val="auto"/>
          <w:kern w:val="2"/>
          <w:sz w:val="32"/>
          <w:szCs w:val="32"/>
          <w:lang w:val="en-US" w:eastAsia="zh-CN" w:bidi="ar-SA"/>
        </w:rPr>
        <w:t>项目代理机构的合法代表，以我方名义全权处理该项目有关报价、签订合同以及执行合同等一切事宜。</w:t>
      </w:r>
    </w:p>
    <w:p w14:paraId="125F53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val="0"/>
          <w:color w:val="auto"/>
          <w:kern w:val="2"/>
          <w:sz w:val="32"/>
          <w:szCs w:val="32"/>
          <w:lang w:val="en-US" w:eastAsia="zh-CN" w:bidi="ar-SA"/>
        </w:rPr>
        <w:t>特此声明。</w:t>
      </w:r>
    </w:p>
    <w:p w14:paraId="39BAD5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供应商名称：XXX（盖单位公章）</w:t>
      </w:r>
    </w:p>
    <w:p w14:paraId="288B73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法定代表人（签字或盖章）：XXX</w:t>
      </w:r>
    </w:p>
    <w:p w14:paraId="616635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    务：XXX</w:t>
      </w:r>
    </w:p>
    <w:p w14:paraId="683823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被授权人签字：XXX</w:t>
      </w:r>
    </w:p>
    <w:p w14:paraId="651B6B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    务：XXX</w:t>
      </w:r>
    </w:p>
    <w:p w14:paraId="30FCED05">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highlight w:val="none"/>
        </w:rPr>
        <w:t>日    期：XXX年XXX月XXX日</w:t>
      </w:r>
    </w:p>
    <w:p w14:paraId="06AB4E34">
      <w:pPr>
        <w:pStyle w:val="3"/>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
          <w:i w:val="0"/>
          <w:iCs/>
          <w:color w:val="auto"/>
          <w:sz w:val="32"/>
          <w:szCs w:val="32"/>
          <w:highlight w:val="none"/>
        </w:rPr>
      </w:pPr>
      <w:r>
        <w:rPr>
          <w:rFonts w:hint="eastAsia" w:ascii="仿宋" w:hAnsi="仿宋" w:eastAsia="仿宋" w:cs="仿宋"/>
          <w:b/>
          <w:i w:val="0"/>
          <w:iCs/>
          <w:color w:val="auto"/>
          <w:sz w:val="32"/>
          <w:szCs w:val="32"/>
          <w:highlight w:val="none"/>
        </w:rPr>
        <w:t>提示：</w:t>
      </w:r>
    </w:p>
    <w:p w14:paraId="48C8FF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1、应附法定代表人/单位负责人身份证明材料复印件和授权代表身份证明材料复印件。</w:t>
      </w:r>
    </w:p>
    <w:p w14:paraId="6D0BEA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、身份证明材料包括居民身份证或户口本或军官证或护照等。</w:t>
      </w:r>
    </w:p>
    <w:p w14:paraId="7AD5B0EE">
      <w:pPr>
        <w:pStyle w:val="2"/>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、身份证明材料应同时提供其在有效期的材料，如居民身份证正、反面复印件。</w:t>
      </w:r>
    </w:p>
    <w:p w14:paraId="52C5AB05">
      <w:pPr>
        <w:pStyle w:val="2"/>
        <w:keepNext w:val="0"/>
        <w:keepLines w:val="0"/>
        <w:pageBreakBefore w:val="0"/>
        <w:widowControl w:val="0"/>
        <w:kinsoku/>
        <w:wordWrap/>
        <w:overflowPunct/>
        <w:topLinePunct w:val="0"/>
        <w:autoSpaceDE/>
        <w:autoSpaceDN/>
        <w:bidi w:val="0"/>
        <w:adjustRightInd/>
        <w:snapToGrid/>
        <w:spacing w:after="0"/>
        <w:jc w:val="center"/>
        <w:textAlignment w:val="auto"/>
        <w:outlineLvl w:val="1"/>
        <w:rPr>
          <w:rFonts w:hint="eastAsia" w:ascii="仿宋" w:hAnsi="仿宋" w:eastAsia="仿宋" w:cs="仿宋"/>
          <w:b w:val="0"/>
          <w:bCs w:val="0"/>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br w:type="page"/>
      </w:r>
      <w:r>
        <w:rPr>
          <w:rFonts w:hint="eastAsia" w:ascii="仿宋" w:hAnsi="仿宋" w:eastAsia="仿宋" w:cs="仿宋"/>
          <w:b/>
          <w:bCs/>
          <w:color w:val="auto"/>
          <w:kern w:val="2"/>
          <w:sz w:val="32"/>
          <w:szCs w:val="24"/>
          <w:lang w:val="en-US" w:eastAsia="zh-CN" w:bidi="ar-SA"/>
        </w:rPr>
        <w:t>（四）近三年没有不良行为记录的承诺书</w:t>
      </w:r>
    </w:p>
    <w:p w14:paraId="70098C1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Cs/>
          <w:color w:val="auto"/>
          <w:sz w:val="32"/>
          <w:szCs w:val="32"/>
          <w:highlight w:val="none"/>
          <w:u w:val="single"/>
        </w:rPr>
      </w:pPr>
      <w:r>
        <w:rPr>
          <w:rFonts w:hint="eastAsia" w:ascii="仿宋" w:hAnsi="仿宋" w:eastAsia="仿宋" w:cs="仿宋"/>
          <w:bCs/>
          <w:color w:val="auto"/>
          <w:sz w:val="32"/>
          <w:szCs w:val="32"/>
          <w:highlight w:val="none"/>
          <w:u w:val="none"/>
        </w:rPr>
        <w:t>乐山市经济和信息化局：</w:t>
      </w:r>
    </w:p>
    <w:p w14:paraId="31951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我公司作为本次</w:t>
      </w:r>
      <w:r>
        <w:rPr>
          <w:rFonts w:hint="eastAsia" w:ascii="仿宋" w:hAnsi="仿宋" w:eastAsia="仿宋" w:cs="仿宋"/>
          <w:bCs/>
          <w:color w:val="auto"/>
          <w:sz w:val="32"/>
          <w:szCs w:val="32"/>
          <w:highlight w:val="none"/>
          <w:lang w:eastAsia="zh-CN"/>
        </w:rPr>
        <w:t>参与报价</w:t>
      </w:r>
      <w:r>
        <w:rPr>
          <w:rFonts w:hint="eastAsia" w:ascii="仿宋" w:hAnsi="仿宋" w:eastAsia="仿宋" w:cs="仿宋"/>
          <w:bCs/>
          <w:color w:val="auto"/>
          <w:sz w:val="32"/>
          <w:szCs w:val="32"/>
          <w:highlight w:val="none"/>
        </w:rPr>
        <w:t>的</w:t>
      </w:r>
      <w:r>
        <w:rPr>
          <w:rFonts w:hint="eastAsia" w:ascii="仿宋" w:hAnsi="仿宋" w:eastAsia="仿宋" w:cs="仿宋"/>
          <w:bCs/>
          <w:color w:val="auto"/>
          <w:sz w:val="32"/>
          <w:szCs w:val="32"/>
          <w:highlight w:val="none"/>
          <w:lang w:eastAsia="zh-CN"/>
        </w:rPr>
        <w:t>供应商</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近三年</w:t>
      </w:r>
      <w:r>
        <w:rPr>
          <w:rFonts w:hint="eastAsia" w:ascii="仿宋" w:hAnsi="仿宋" w:eastAsia="仿宋" w:cs="仿宋"/>
          <w:bCs/>
          <w:color w:val="auto"/>
          <w:sz w:val="32"/>
          <w:szCs w:val="32"/>
          <w:highlight w:val="none"/>
          <w:lang w:val="en-US" w:eastAsia="zh-CN"/>
        </w:rPr>
        <w:t>没有不良行为记录</w:t>
      </w:r>
      <w:r>
        <w:rPr>
          <w:rFonts w:hint="eastAsia" w:ascii="仿宋" w:hAnsi="仿宋" w:eastAsia="仿宋" w:cs="仿宋"/>
          <w:bCs/>
          <w:color w:val="auto"/>
          <w:sz w:val="32"/>
          <w:szCs w:val="32"/>
          <w:highlight w:val="none"/>
        </w:rPr>
        <w:t>。</w:t>
      </w:r>
    </w:p>
    <w:p w14:paraId="332C8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特此承诺！</w:t>
      </w:r>
    </w:p>
    <w:p w14:paraId="33DF9F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p>
    <w:p w14:paraId="25354F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法定代表人签字或者加盖个人私章：XXXX</w:t>
      </w:r>
    </w:p>
    <w:p w14:paraId="15ED63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供应商名称：XXXX（盖章）</w:t>
      </w:r>
    </w:p>
    <w:p w14:paraId="4A3233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期：XXX年XXX月XXX日</w:t>
      </w:r>
    </w:p>
    <w:p w14:paraId="0C9BBD96">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val="0"/>
          <w:bCs w:val="0"/>
          <w:color w:val="auto"/>
          <w:kern w:val="2"/>
          <w:sz w:val="32"/>
          <w:szCs w:val="24"/>
          <w:lang w:val="en-US" w:eastAsia="zh-CN" w:bidi="ar-SA"/>
        </w:rPr>
      </w:pPr>
    </w:p>
    <w:p w14:paraId="52C35120">
      <w:pPr>
        <w:pStyle w:val="2"/>
        <w:keepNext w:val="0"/>
        <w:keepLines w:val="0"/>
        <w:pageBreakBefore w:val="0"/>
        <w:widowControl w:val="0"/>
        <w:kinsoku/>
        <w:wordWrap/>
        <w:overflowPunct/>
        <w:topLinePunct w:val="0"/>
        <w:autoSpaceDE/>
        <w:autoSpaceDN/>
        <w:bidi w:val="0"/>
        <w:adjustRightInd/>
        <w:snapToGrid/>
        <w:spacing w:after="0"/>
        <w:jc w:val="center"/>
        <w:textAlignment w:val="auto"/>
        <w:outlineLvl w:val="1"/>
        <w:rPr>
          <w:rFonts w:hint="default" w:ascii="仿宋" w:hAnsi="仿宋" w:eastAsia="仿宋" w:cs="仿宋"/>
          <w:b w:val="0"/>
          <w:bCs w:val="0"/>
          <w:color w:val="auto"/>
          <w:kern w:val="2"/>
          <w:sz w:val="32"/>
          <w:szCs w:val="24"/>
          <w:lang w:val="en-US" w:eastAsia="zh-CN" w:bidi="ar-SA"/>
        </w:rPr>
      </w:pPr>
      <w:r>
        <w:rPr>
          <w:rFonts w:hint="eastAsia" w:ascii="仿宋" w:hAnsi="仿宋" w:eastAsia="仿宋" w:cs="仿宋"/>
          <w:b w:val="0"/>
          <w:bCs w:val="0"/>
          <w:color w:val="auto"/>
          <w:kern w:val="2"/>
          <w:sz w:val="32"/>
          <w:szCs w:val="24"/>
          <w:lang w:val="en-US" w:eastAsia="zh-CN" w:bidi="ar-SA"/>
        </w:rPr>
        <w:br w:type="page"/>
      </w:r>
      <w:r>
        <w:rPr>
          <w:rFonts w:hint="eastAsia" w:ascii="仿宋" w:hAnsi="仿宋" w:eastAsia="仿宋" w:cs="仿宋"/>
          <w:b/>
          <w:bCs/>
          <w:color w:val="auto"/>
          <w:kern w:val="2"/>
          <w:sz w:val="32"/>
          <w:szCs w:val="24"/>
          <w:lang w:val="en-US" w:eastAsia="zh-CN" w:bidi="ar-SA"/>
        </w:rPr>
        <w:t>（五）报价表</w:t>
      </w:r>
    </w:p>
    <w:p w14:paraId="7CCFD24F">
      <w:pPr>
        <w:spacing w:line="360" w:lineRule="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项目名称：乐山市创建2025年中小企业数字化转型城市试点辅导服务项目</w:t>
      </w:r>
    </w:p>
    <w:p w14:paraId="2715FE3C">
      <w:pPr>
        <w:spacing w:line="360" w:lineRule="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采购人名称：乐山市经济和信息化局</w:t>
      </w:r>
    </w:p>
    <w:tbl>
      <w:tblPr>
        <w:tblStyle w:val="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750"/>
        <w:gridCol w:w="4290"/>
        <w:gridCol w:w="2719"/>
      </w:tblGrid>
      <w:tr w14:paraId="44B1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16" w:type="dxa"/>
            <w:noWrap w:val="0"/>
            <w:vAlign w:val="center"/>
          </w:tcPr>
          <w:p w14:paraId="4BA5E131">
            <w:pPr>
              <w:ind w:left="0" w:lef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序号</w:t>
            </w:r>
          </w:p>
        </w:tc>
        <w:tc>
          <w:tcPr>
            <w:tcW w:w="1750" w:type="dxa"/>
            <w:noWrap w:val="0"/>
            <w:vAlign w:val="center"/>
          </w:tcPr>
          <w:p w14:paraId="5CF89B60">
            <w:pPr>
              <w:ind w:left="0" w:leftChars="0" w:firstLine="0" w:firstLineChars="0"/>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项目名称</w:t>
            </w:r>
          </w:p>
        </w:tc>
        <w:tc>
          <w:tcPr>
            <w:tcW w:w="4290" w:type="dxa"/>
            <w:noWrap w:val="0"/>
            <w:vAlign w:val="center"/>
          </w:tcPr>
          <w:p w14:paraId="48F7D44D">
            <w:pPr>
              <w:ind w:left="0" w:leftChars="0" w:firstLine="0" w:firstLineChars="0"/>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服务内容</w:t>
            </w:r>
          </w:p>
        </w:tc>
        <w:tc>
          <w:tcPr>
            <w:tcW w:w="2719" w:type="dxa"/>
            <w:noWrap w:val="0"/>
            <w:vAlign w:val="center"/>
          </w:tcPr>
          <w:p w14:paraId="34ADB1DA">
            <w:pPr>
              <w:ind w:left="355" w:hanging="475" w:hangingChars="148"/>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报价</w:t>
            </w:r>
          </w:p>
        </w:tc>
      </w:tr>
      <w:tr w14:paraId="195B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16" w:type="dxa"/>
            <w:noWrap w:val="0"/>
            <w:vAlign w:val="center"/>
          </w:tcPr>
          <w:p w14:paraId="022B5A46">
            <w:pPr>
              <w:spacing w:line="240" w:lineRule="auto"/>
              <w:ind w:left="0" w:leftChars="0" w:firstLine="0" w:firstLine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w:t>
            </w:r>
          </w:p>
        </w:tc>
        <w:tc>
          <w:tcPr>
            <w:tcW w:w="1750" w:type="dxa"/>
            <w:noWrap w:val="0"/>
            <w:vAlign w:val="center"/>
          </w:tcPr>
          <w:p w14:paraId="787DB016">
            <w:pPr>
              <w:spacing w:line="240" w:lineRule="auto"/>
              <w:ind w:left="0" w:leftChars="0" w:firstLine="0" w:firstLineChars="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乐山市创建2025年中小企业数字化转型城市试点辅导服务项目</w:t>
            </w:r>
          </w:p>
        </w:tc>
        <w:tc>
          <w:tcPr>
            <w:tcW w:w="4290" w:type="dxa"/>
            <w:noWrap w:val="0"/>
            <w:vAlign w:val="top"/>
          </w:tcPr>
          <w:p w14:paraId="5E1D0668">
            <w:pPr>
              <w:numPr>
                <w:ilvl w:val="0"/>
                <w:numId w:val="0"/>
              </w:numPr>
              <w:spacing w:line="360" w:lineRule="auto"/>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1.组织相关专业论证专家完成本项目需求论证报告。</w:t>
            </w:r>
          </w:p>
          <w:p w14:paraId="4C5A9AF5">
            <w:pPr>
              <w:numPr>
                <w:ilvl w:val="0"/>
                <w:numId w:val="0"/>
              </w:numPr>
              <w:spacing w:line="360" w:lineRule="auto"/>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2.编制完成项目采购文件。</w:t>
            </w:r>
          </w:p>
          <w:p w14:paraId="588F888B">
            <w:pPr>
              <w:numPr>
                <w:ilvl w:val="0"/>
                <w:numId w:val="0"/>
              </w:numPr>
              <w:spacing w:line="360" w:lineRule="auto"/>
              <w:jc w:val="lef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3.提供本项目招标活动场所。</w:t>
            </w:r>
          </w:p>
          <w:p w14:paraId="219855AD">
            <w:pPr>
              <w:numPr>
                <w:ilvl w:val="0"/>
                <w:numId w:val="0"/>
              </w:numPr>
              <w:spacing w:line="360" w:lineRule="auto"/>
              <w:jc w:val="left"/>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lang w:val="en-US" w:eastAsia="zh-CN" w:bidi="ar-SA"/>
              </w:rPr>
              <w:t>4.组织完成本项目采购活动，包括挂网、组建评审小组、组织开评标活动、形成评审报告、发布成交通知书、整理存档资料等</w:t>
            </w:r>
            <w:r>
              <w:rPr>
                <w:rFonts w:hint="eastAsia" w:ascii="仿宋" w:hAnsi="仿宋" w:eastAsia="仿宋" w:cs="仿宋"/>
                <w:color w:val="auto"/>
                <w:sz w:val="30"/>
                <w:szCs w:val="30"/>
                <w:highlight w:val="none"/>
                <w:lang w:val="en-US" w:eastAsia="zh-CN"/>
              </w:rPr>
              <w:t>。</w:t>
            </w:r>
          </w:p>
        </w:tc>
        <w:tc>
          <w:tcPr>
            <w:tcW w:w="2719" w:type="dxa"/>
            <w:noWrap w:val="0"/>
            <w:vAlign w:val="center"/>
          </w:tcPr>
          <w:p w14:paraId="48B11F84">
            <w:pPr>
              <w:ind w:left="0" w:leftChars="0" w:firstLine="0" w:firstLineChars="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参照《国家发展改革委关于进一步放开建设项目专业服务价格的通知》（发改价格[2015]299号）规定收取，本次采购代理服务费为XXXX元（大写：XX）。</w:t>
            </w:r>
          </w:p>
        </w:tc>
      </w:tr>
    </w:tbl>
    <w:p w14:paraId="6D4DD271">
      <w:pPr>
        <w:spacing w:line="48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lang w:val="en-US" w:eastAsia="zh-CN"/>
        </w:rPr>
        <w:t>注：报价费用包含不限于</w:t>
      </w:r>
      <w:r>
        <w:rPr>
          <w:rFonts w:hint="eastAsia" w:ascii="仿宋" w:hAnsi="仿宋" w:eastAsia="仿宋" w:cs="仿宋"/>
          <w:color w:val="auto"/>
          <w:lang w:eastAsia="zh-CN"/>
        </w:rPr>
        <w:t>人工费、材料费、编制费、需求论证专家费、交通费（含相关杂费）、管理费、保险费、利润及税金等。</w:t>
      </w:r>
      <w:r>
        <w:rPr>
          <w:rFonts w:hint="eastAsia" w:ascii="仿宋" w:hAnsi="仿宋" w:eastAsia="仿宋" w:cs="仿宋"/>
          <w:color w:val="auto"/>
          <w:lang w:val="en-US" w:eastAsia="zh-CN"/>
        </w:rPr>
        <w:t>由于委托项目废标或其他原因，需进行多次招标、采购时，代理机构应按代理合同规定标准只收取一次代理服务费。本次报价不包含项目评审过程中的专家评审费用，专家评审费用由采购单位支付</w:t>
      </w:r>
      <w:r>
        <w:rPr>
          <w:rFonts w:hint="eastAsia" w:ascii="仿宋" w:hAnsi="仿宋" w:eastAsia="仿宋" w:cs="仿宋"/>
          <w:color w:val="auto"/>
          <w:sz w:val="32"/>
          <w:szCs w:val="32"/>
        </w:rPr>
        <w:t>。</w:t>
      </w:r>
      <w:r>
        <w:rPr>
          <w:rFonts w:hint="eastAsia" w:ascii="仿宋" w:hAnsi="仿宋" w:eastAsia="仿宋" w:cs="仿宋"/>
          <w:color w:val="auto"/>
          <w:sz w:val="32"/>
          <w:szCs w:val="32"/>
          <w:u w:val="none"/>
        </w:rPr>
        <w:t xml:space="preserve"> </w:t>
      </w:r>
    </w:p>
    <w:p w14:paraId="350C0A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法定代表人签字或者加盖个人私章：XXXX</w:t>
      </w:r>
    </w:p>
    <w:p w14:paraId="44BBD8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供应商名称：XXXX（盖章）</w:t>
      </w:r>
    </w:p>
    <w:p w14:paraId="65DBE1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联系人：</w:t>
      </w:r>
      <w:r>
        <w:rPr>
          <w:rFonts w:hint="eastAsia" w:ascii="仿宋" w:hAnsi="仿宋" w:eastAsia="仿宋" w:cs="仿宋"/>
          <w:color w:val="auto"/>
          <w:sz w:val="32"/>
          <w:szCs w:val="32"/>
          <w:highlight w:val="none"/>
          <w:lang w:val="en-US" w:eastAsia="zh-CN"/>
        </w:rPr>
        <w:t>XXX</w:t>
      </w:r>
    </w:p>
    <w:p w14:paraId="25A60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联系方式：XXXXX</w:t>
      </w:r>
    </w:p>
    <w:p w14:paraId="7D0D86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日    期：XXX年XXX月XXX日</w:t>
      </w:r>
    </w:p>
    <w:p w14:paraId="14A266A5">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b w:val="0"/>
          <w:bCs w:val="0"/>
          <w:color w:val="auto"/>
          <w:kern w:val="2"/>
          <w:sz w:val="32"/>
          <w:szCs w:val="24"/>
          <w:lang w:val="en-US" w:eastAsia="zh-CN" w:bidi="ar-SA"/>
        </w:rPr>
      </w:pPr>
    </w:p>
    <w:p w14:paraId="431FC5C4">
      <w:pPr>
        <w:rPr>
          <w:rFonts w:hint="eastAsia"/>
          <w:color w:val="auto"/>
          <w:lang w:val="en-US" w:eastAsia="zh-CN"/>
        </w:rPr>
      </w:pPr>
    </w:p>
    <w:p w14:paraId="6343E1BC">
      <w:pPr>
        <w:pStyle w:val="2"/>
        <w:ind w:left="0" w:leftChars="0" w:firstLine="0" w:firstLineChars="0"/>
        <w:jc w:val="left"/>
        <w:rPr>
          <w:rFonts w:hint="eastAsia" w:ascii="仿宋" w:hAnsi="仿宋" w:eastAsia="仿宋" w:cs="仿宋"/>
          <w:b/>
          <w:bCs/>
          <w:color w:val="auto"/>
          <w:lang w:val="en-US" w:eastAsia="zh-CN"/>
        </w:rPr>
      </w:pPr>
      <w:r>
        <w:rPr>
          <w:rFonts w:hint="eastAsia" w:ascii="仿宋" w:hAnsi="仿宋" w:eastAsia="仿宋" w:cs="仿宋"/>
          <w:color w:val="auto"/>
          <w:lang w:val="en-US" w:eastAsia="zh-CN"/>
        </w:rPr>
        <w:br w:type="page"/>
      </w:r>
      <w:r>
        <w:rPr>
          <w:rFonts w:hint="eastAsia" w:ascii="仿宋" w:hAnsi="仿宋" w:eastAsia="仿宋" w:cs="仿宋"/>
          <w:b/>
          <w:bCs/>
          <w:color w:val="auto"/>
          <w:lang w:val="en-US" w:eastAsia="zh-CN"/>
        </w:rPr>
        <w:t>附件2</w:t>
      </w:r>
    </w:p>
    <w:p w14:paraId="03C5C173">
      <w:pPr>
        <w:pStyle w:val="7"/>
        <w:jc w:val="center"/>
        <w:outlineLvl w:val="1"/>
        <w:rPr>
          <w:color w:val="auto"/>
        </w:rPr>
      </w:pPr>
      <w:r>
        <w:rPr>
          <w:rFonts w:ascii="仿宋_GB2312" w:hAnsi="仿宋_GB2312" w:eastAsia="仿宋_GB2312" w:cs="仿宋_GB2312"/>
          <w:b/>
          <w:color w:val="auto"/>
          <w:sz w:val="36"/>
        </w:rPr>
        <w:t>政府采购项目委托代理协议</w:t>
      </w:r>
      <w:r>
        <w:rPr>
          <w:color w:val="auto"/>
        </w:rPr>
        <w:br w:type="textWrapping"/>
      </w:r>
      <w:r>
        <w:rPr>
          <w:color w:val="auto"/>
        </w:rPr>
        <w:br w:type="textWrapping"/>
      </w:r>
    </w:p>
    <w:p w14:paraId="6F73B4A6">
      <w:pPr>
        <w:pStyle w:val="7"/>
        <w:jc w:val="left"/>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委托方(采购人,以下简称甲方)：乐山市经济和信息化局</w:t>
      </w:r>
    </w:p>
    <w:p w14:paraId="2931E847">
      <w:pPr>
        <w:pStyle w:val="7"/>
        <w:jc w:val="left"/>
        <w:outlineLvl w:val="2"/>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rPr>
        <w:t>受托方(社会代理机构,以下简称乙方)：</w:t>
      </w:r>
      <w:r>
        <w:rPr>
          <w:rFonts w:hint="eastAsia" w:ascii="仿宋" w:hAnsi="仿宋" w:eastAsia="仿宋" w:cs="仿宋"/>
          <w:b/>
          <w:color w:val="auto"/>
          <w:sz w:val="28"/>
          <w:szCs w:val="28"/>
          <w:lang w:val="en-US" w:eastAsia="zh-CN"/>
        </w:rPr>
        <w:t>XXXXX</w:t>
      </w:r>
    </w:p>
    <w:p w14:paraId="6D636B73">
      <w:pPr>
        <w:pStyle w:val="7"/>
        <w:ind w:firstLine="420"/>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中华人民共和国政府采购法》《中华人民共和国政府采购法实施条例》《中华人民共和国民法典》等相关法律法规的规定，乙方接受甲方的委托，按照甲方的采购需求、采购实施计划以及政府采购相关法律、法规及规定的程序，组织政府采购活动。为确保相关采购项目的顺利实施，经甲乙双方协商一致达成如下协议:</w:t>
      </w:r>
    </w:p>
    <w:p w14:paraId="5A0445C6">
      <w:pPr>
        <w:pStyle w:val="7"/>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采购项目名称：乐山市创建2025年中小企业数字化转型城市试点辅导服务项目</w:t>
      </w:r>
    </w:p>
    <w:p w14:paraId="57FBC5F6">
      <w:pPr>
        <w:pStyle w:val="7"/>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150.00万</w:t>
      </w:r>
      <w:r>
        <w:rPr>
          <w:rFonts w:hint="eastAsia" w:ascii="仿宋" w:hAnsi="仿宋" w:eastAsia="仿宋" w:cs="仿宋"/>
          <w:color w:val="auto"/>
          <w:sz w:val="28"/>
          <w:szCs w:val="28"/>
        </w:rPr>
        <w:t>元</w:t>
      </w:r>
    </w:p>
    <w:p w14:paraId="13712D99">
      <w:pPr>
        <w:pStyle w:val="7"/>
        <w:ind w:firstLine="48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计划备案号：</w:t>
      </w:r>
      <w:r>
        <w:rPr>
          <w:rFonts w:hint="eastAsia" w:ascii="仿宋" w:hAnsi="仿宋" w:eastAsia="仿宋" w:cs="仿宋"/>
          <w:color w:val="auto"/>
          <w:sz w:val="28"/>
          <w:szCs w:val="28"/>
          <w:lang w:val="en-US" w:eastAsia="zh-CN"/>
        </w:rPr>
        <w:t>XXXXX</w:t>
      </w:r>
    </w:p>
    <w:p w14:paraId="0E3402AB">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第一条 委托代理范围及事项</w:t>
      </w:r>
    </w:p>
    <w:p w14:paraId="21376717">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 xml:space="preserve"> 对甲方采用公开招标、邀请招标、竞争性谈判、竞争性磋商、单一来源采购、询价以及国务院政府采购监督管理部门认定的其他采购方式所开展的政府采购项目，乙方在甲方委托范围内代理以下事项：</w:t>
      </w:r>
    </w:p>
    <w:p w14:paraId="0C09068D">
      <w:pPr>
        <w:pStyle w:val="7"/>
        <w:ind w:firstLine="420"/>
        <w:rPr>
          <w:rFonts w:hint="eastAsia" w:ascii="仿宋" w:hAnsi="仿宋" w:eastAsia="仿宋" w:cs="仿宋"/>
          <w:color w:val="auto"/>
          <w:sz w:val="28"/>
          <w:szCs w:val="28"/>
        </w:rPr>
      </w:pPr>
      <w:r>
        <w:rPr>
          <w:rFonts w:hint="eastAsia" w:ascii="仿宋" w:hAnsi="仿宋" w:eastAsia="仿宋" w:cs="仿宋"/>
          <w:color w:val="auto"/>
          <w:sz w:val="28"/>
          <w:szCs w:val="28"/>
        </w:rPr>
        <w:t>一、公告信息发布</w:t>
      </w:r>
    </w:p>
    <w:p w14:paraId="2AD269D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甲方委托乙方按政府采购相关法律的法定程序，依法发布本项目的相关公告，包括但不限于：</w:t>
      </w:r>
    </w:p>
    <w:p w14:paraId="0AD6E287">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资格预审公告（如有）：是</w:t>
      </w:r>
    </w:p>
    <w:p w14:paraId="2AB584D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采购公告（发送邀请书）：是</w:t>
      </w:r>
    </w:p>
    <w:p w14:paraId="61C51258">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更正公告（邀请更正）：是</w:t>
      </w:r>
    </w:p>
    <w:p w14:paraId="0D95BBB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中标(成交)公告：是</w:t>
      </w:r>
    </w:p>
    <w:p w14:paraId="30404193">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终止（废标）公告：是</w:t>
      </w:r>
    </w:p>
    <w:p w14:paraId="68519A42">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其他相关信息：否</w:t>
      </w:r>
    </w:p>
    <w:p w14:paraId="374BDFD3">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二、资格预审：否</w:t>
      </w:r>
    </w:p>
    <w:p w14:paraId="62E7B15A">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三、资格审查：评审委员会审查</w:t>
      </w:r>
    </w:p>
    <w:p w14:paraId="18F71BBF">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四、编制采购文件：是</w:t>
      </w:r>
    </w:p>
    <w:p w14:paraId="7C215CE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 xml:space="preserve"> 五、组建评审委员会（非招标采购，如谈判、磋商、协商、询价小组）：是</w:t>
      </w:r>
    </w:p>
    <w:p w14:paraId="1FEA14A6">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六、询问、质疑回复</w:t>
      </w:r>
    </w:p>
    <w:p w14:paraId="66A9C091">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1、采购文件中采购需求的询问、质疑：甲方</w:t>
      </w:r>
    </w:p>
    <w:p w14:paraId="758E6416">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2、除采购需求外的采购文件的询问、质疑：乙方</w:t>
      </w:r>
    </w:p>
    <w:p w14:paraId="14762C0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3、采购过程、采购结果的询问、质疑：乙方</w:t>
      </w:r>
    </w:p>
    <w:p w14:paraId="3F820927">
      <w:pPr>
        <w:pStyle w:val="7"/>
        <w:rPr>
          <w:rFonts w:hint="eastAsia" w:ascii="仿宋" w:hAnsi="仿宋" w:eastAsia="仿宋" w:cs="仿宋"/>
          <w:color w:val="auto"/>
          <w:sz w:val="28"/>
          <w:szCs w:val="28"/>
        </w:rPr>
      </w:pPr>
      <w:r>
        <w:rPr>
          <w:rFonts w:hint="eastAsia" w:ascii="仿宋" w:hAnsi="仿宋" w:eastAsia="仿宋" w:cs="仿宋"/>
          <w:color w:val="auto"/>
          <w:sz w:val="28"/>
          <w:szCs w:val="28"/>
        </w:rPr>
        <w:t xml:space="preserve"> 七、其他委托事项：无。</w:t>
      </w:r>
    </w:p>
    <w:p w14:paraId="6BE6532A">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第二条 委托代理期限</w:t>
      </w:r>
    </w:p>
    <w:p w14:paraId="31752DE7">
      <w:pPr>
        <w:pStyle w:val="7"/>
        <w:rPr>
          <w:rFonts w:hint="eastAsia" w:ascii="仿宋" w:hAnsi="仿宋" w:eastAsia="仿宋" w:cs="仿宋"/>
          <w:color w:val="auto"/>
          <w:sz w:val="28"/>
          <w:szCs w:val="28"/>
        </w:rPr>
      </w:pPr>
      <w:r>
        <w:rPr>
          <w:rFonts w:hint="eastAsia" w:ascii="仿宋" w:hAnsi="仿宋" w:eastAsia="仿宋" w:cs="仿宋"/>
          <w:color w:val="auto"/>
          <w:sz w:val="28"/>
          <w:szCs w:val="28"/>
        </w:rPr>
        <w:t>自本协议生效之日起至项目采购实施完成或满足本协议约定事项时依法解除。</w:t>
      </w:r>
    </w:p>
    <w:p w14:paraId="3D20D54B">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第三条 采购项目资料</w:t>
      </w:r>
    </w:p>
    <w:p w14:paraId="795BB418">
      <w:pPr>
        <w:pStyle w:val="7"/>
        <w:rPr>
          <w:rFonts w:hint="eastAsia" w:ascii="仿宋" w:hAnsi="仿宋" w:eastAsia="仿宋" w:cs="仿宋"/>
          <w:color w:val="auto"/>
          <w:sz w:val="28"/>
          <w:szCs w:val="28"/>
        </w:rPr>
      </w:pPr>
      <w:r>
        <w:rPr>
          <w:rFonts w:hint="eastAsia" w:ascii="仿宋" w:hAnsi="仿宋" w:eastAsia="仿宋" w:cs="仿宋"/>
          <w:color w:val="auto"/>
          <w:sz w:val="28"/>
          <w:szCs w:val="28"/>
        </w:rPr>
        <w:t>甲方委托乙方组织实施具体采购项目时，应提供以下资料：</w:t>
      </w:r>
    </w:p>
    <w:p w14:paraId="37D91076">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一、《政府采购实施计划备案表》及采购需求。</w:t>
      </w:r>
    </w:p>
    <w:p w14:paraId="3FBDCC19">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二、其他甲方认为应提供的相关资料。</w:t>
      </w:r>
    </w:p>
    <w:p w14:paraId="5A050350">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第四条 权利和义务</w:t>
      </w:r>
    </w:p>
    <w:p w14:paraId="4299B4B7">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一、甲方的权利与义务</w:t>
      </w:r>
    </w:p>
    <w:p w14:paraId="0D33840E">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（一）甲方经办人及经办人的授权：</w:t>
      </w:r>
    </w:p>
    <w:p w14:paraId="5654CE3D">
      <w:pPr>
        <w:pStyle w:val="7"/>
        <w:ind w:firstLine="48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1、甲方指定经办人：</w:t>
      </w:r>
      <w:r>
        <w:rPr>
          <w:rFonts w:hint="eastAsia" w:ascii="仿宋" w:hAnsi="仿宋" w:eastAsia="仿宋" w:cs="仿宋"/>
          <w:color w:val="auto"/>
          <w:sz w:val="28"/>
          <w:szCs w:val="28"/>
          <w:lang w:val="en-US" w:eastAsia="zh-CN"/>
        </w:rPr>
        <w:t>XXX</w:t>
      </w: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XXXXXX</w:t>
      </w:r>
    </w:p>
    <w:p w14:paraId="49511666">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2、甲方授权上述经办人有权代表甲方与乙方对接沟通采购过程中的相关事宜。</w:t>
      </w:r>
    </w:p>
    <w:p w14:paraId="51F6C488">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（二）确认中标（成交）供应商方式：</w:t>
      </w:r>
    </w:p>
    <w:p w14:paraId="6BBFFC4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□采购单位授权评审委员会按照评审原则直接确定中标（成交）供应商。</w:t>
      </w:r>
    </w:p>
    <w:p w14:paraId="2945CDE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采购单位按照评审报告中推荐的成交候选人确定中标（成交）供应商。</w:t>
      </w:r>
    </w:p>
    <w:p w14:paraId="615A0E02">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（三）甲方委托乙方采购的项目，应确保项目已按程序履行完成事前审批手续，该项目的政府采购预算已编制，采购意向已依规公开，政府采购实施计划已报财政部门备案。</w:t>
      </w:r>
    </w:p>
    <w:p w14:paraId="2698F659">
      <w:pPr>
        <w:pStyle w:val="7"/>
        <w:rPr>
          <w:rFonts w:hint="eastAsia" w:ascii="仿宋" w:hAnsi="仿宋" w:eastAsia="仿宋" w:cs="仿宋"/>
          <w:color w:val="auto"/>
          <w:sz w:val="28"/>
          <w:szCs w:val="28"/>
        </w:rPr>
      </w:pPr>
      <w:r>
        <w:rPr>
          <w:rFonts w:hint="eastAsia" w:ascii="仿宋" w:hAnsi="仿宋" w:eastAsia="仿宋" w:cs="仿宋"/>
          <w:color w:val="auto"/>
          <w:sz w:val="28"/>
          <w:szCs w:val="28"/>
        </w:rPr>
        <w:t>（四）甲方应当根据《政府采购需求管理办法》（财库〔2021〕22号）文件要求提供完整、明确的采购需求，确保采购需求的合法性、合规性、合理性。甲方应保证向乙方提供采购项目相关资料内容的完整、真实、明确，符合相关法律法规要求。</w:t>
      </w:r>
    </w:p>
    <w:p w14:paraId="2D46C9A6">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（五）甲方应根据采购项目的需要，委派相关人员参加标前答疑会，负责解答供应商提出的采购文件中关于技术指标、参数、资格要求、服务要求、评分标准以及采购项目的其他需求等方面的问题。</w:t>
      </w:r>
    </w:p>
    <w:p w14:paraId="0F0AA8EB">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（六）甲方应委派采购项目的采购人代表参加评审活动，委派监督人员监督评审活动。拟派的相关工作人员均应遵守开评标现场的管理制度；监督人应按照政府采购有关规定，依规定履行对评审现场的监督工作，</w:t>
      </w:r>
    </w:p>
    <w:p w14:paraId="0870206F">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（七）如果本项目要求供应商提供样品的，甲方应当对中标（成交）供应商提供的样品进行保管和封存，并作为履约验收的参考。</w:t>
      </w:r>
    </w:p>
    <w:p w14:paraId="39EE988A">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八）甲方在收到评标（审）报告后5个工作日内未按评标（审）报告推荐的中标（成交）供应商顺序确定中标（成交）供应商，又不能说明合法理由的，视同按评标（审）报告推荐的顺序确定排名第一的中标（成交）候选供应商为中标（成交）供应商。</w:t>
      </w:r>
    </w:p>
    <w:p w14:paraId="03613351">
      <w:pPr>
        <w:pStyle w:val="7"/>
        <w:rPr>
          <w:rFonts w:hint="eastAsia" w:ascii="仿宋" w:hAnsi="仿宋" w:eastAsia="仿宋" w:cs="仿宋"/>
          <w:color w:val="auto"/>
          <w:sz w:val="28"/>
          <w:szCs w:val="28"/>
        </w:rPr>
      </w:pPr>
      <w:r>
        <w:rPr>
          <w:rFonts w:hint="eastAsia" w:ascii="仿宋" w:hAnsi="仿宋" w:eastAsia="仿宋" w:cs="仿宋"/>
          <w:color w:val="auto"/>
          <w:sz w:val="28"/>
          <w:szCs w:val="28"/>
        </w:rPr>
        <w:t>（九）甲方应该在法定时限内与中标（成交）供应商签订采购合同（协议），若合同履行过程中需依法变更、中止或者终止政府采购合同（协议）的，由甲方与中标（成交）供应商协商解决。</w:t>
      </w:r>
    </w:p>
    <w:p w14:paraId="6BD1A54D">
      <w:pPr>
        <w:pStyle w:val="7"/>
        <w:rPr>
          <w:rFonts w:hint="eastAsia" w:ascii="仿宋" w:hAnsi="仿宋" w:eastAsia="仿宋" w:cs="仿宋"/>
          <w:color w:val="auto"/>
          <w:sz w:val="28"/>
          <w:szCs w:val="28"/>
        </w:rPr>
      </w:pPr>
      <w:r>
        <w:rPr>
          <w:rFonts w:hint="eastAsia" w:ascii="仿宋" w:hAnsi="仿宋" w:eastAsia="仿宋" w:cs="仿宋"/>
          <w:color w:val="auto"/>
          <w:sz w:val="28"/>
          <w:szCs w:val="28"/>
        </w:rPr>
        <w:t>（十）甲方有权调阅由乙方做出的询问、质疑、投诉回复意见。</w:t>
      </w:r>
    </w:p>
    <w:p w14:paraId="42F658C5">
      <w:pPr>
        <w:pStyle w:val="7"/>
        <w:rPr>
          <w:rFonts w:hint="eastAsia" w:ascii="仿宋" w:hAnsi="仿宋" w:eastAsia="仿宋" w:cs="仿宋"/>
          <w:color w:val="auto"/>
          <w:sz w:val="28"/>
          <w:szCs w:val="28"/>
        </w:rPr>
      </w:pPr>
      <w:r>
        <w:rPr>
          <w:rFonts w:hint="eastAsia" w:ascii="仿宋" w:hAnsi="仿宋" w:eastAsia="仿宋" w:cs="仿宋"/>
          <w:color w:val="auto"/>
          <w:sz w:val="28"/>
          <w:szCs w:val="28"/>
        </w:rPr>
        <w:t>（十一）乙方应在项目采购结束之后向甲方移交电子档案资料。甲方负责收集保存项目的电子档案。</w:t>
      </w:r>
    </w:p>
    <w:p w14:paraId="77CD81B2">
      <w:pPr>
        <w:pStyle w:val="7"/>
        <w:rPr>
          <w:rFonts w:hint="eastAsia" w:ascii="仿宋" w:hAnsi="仿宋" w:eastAsia="仿宋" w:cs="仿宋"/>
          <w:color w:val="auto"/>
          <w:sz w:val="28"/>
          <w:szCs w:val="28"/>
        </w:rPr>
      </w:pPr>
      <w:r>
        <w:rPr>
          <w:rFonts w:hint="eastAsia" w:ascii="仿宋" w:hAnsi="仿宋" w:eastAsia="仿宋" w:cs="仿宋"/>
          <w:color w:val="auto"/>
          <w:sz w:val="28"/>
          <w:szCs w:val="28"/>
        </w:rPr>
        <w:t>（十二）应加强对供应商的诚信管理，对供应商在履约过程中违反政府采购法律法规规定的情形，甲方应当及时向政府采购监督管理部门报告。</w:t>
      </w:r>
    </w:p>
    <w:p w14:paraId="11C753C8">
      <w:pPr>
        <w:pStyle w:val="7"/>
        <w:rPr>
          <w:rFonts w:hint="eastAsia" w:ascii="仿宋" w:hAnsi="仿宋" w:eastAsia="仿宋" w:cs="仿宋"/>
          <w:color w:val="auto"/>
          <w:sz w:val="28"/>
          <w:szCs w:val="28"/>
        </w:rPr>
      </w:pPr>
      <w:r>
        <w:rPr>
          <w:rFonts w:hint="eastAsia" w:ascii="仿宋" w:hAnsi="仿宋" w:eastAsia="仿宋" w:cs="仿宋"/>
          <w:color w:val="auto"/>
          <w:sz w:val="28"/>
          <w:szCs w:val="28"/>
        </w:rPr>
        <w:t>（十三）若本项目属于批量集中采购、部门集中采购或者联合采购，则本项目由联合牵头方确认所有成员方，并负责履行甲方的权利义务。</w:t>
      </w:r>
    </w:p>
    <w:p w14:paraId="72635828">
      <w:pPr>
        <w:pStyle w:val="7"/>
        <w:rPr>
          <w:rFonts w:hint="eastAsia" w:ascii="仿宋" w:hAnsi="仿宋" w:eastAsia="仿宋" w:cs="仿宋"/>
          <w:color w:val="auto"/>
          <w:sz w:val="28"/>
          <w:szCs w:val="28"/>
        </w:rPr>
      </w:pPr>
      <w:r>
        <w:rPr>
          <w:rFonts w:hint="eastAsia" w:ascii="仿宋" w:hAnsi="仿宋" w:eastAsia="仿宋" w:cs="仿宋"/>
          <w:color w:val="auto"/>
          <w:sz w:val="28"/>
          <w:szCs w:val="28"/>
        </w:rPr>
        <w:t>（十四）政府采购法律法规规定的其他义务。</w:t>
      </w:r>
    </w:p>
    <w:p w14:paraId="59339578">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二、乙方的权利与义务</w:t>
      </w:r>
    </w:p>
    <w:p w14:paraId="5895E3D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（一）乙方依法履行政府采购代理职责，根据甲方的委托，负责组织和处理本项目采购实施过程中的有关具体事项。</w:t>
      </w:r>
    </w:p>
    <w:p w14:paraId="1CD169CF">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（二）维护甲方合法权益，在甲方委托范围内完成约定的委托事项。</w:t>
      </w:r>
    </w:p>
    <w:p w14:paraId="4EFD0EAE">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（三）乙方受甲方委托编制采购文件，采购文件中采购需求（供应商参加本次政府采购活动应当具备的条件和招标项目技术、商务内容及要求）由甲方负责解释，其他内容及要求由乙方负责解释， 采购文件中的澄清、修改或补充内容由乙方负责。</w:t>
      </w:r>
    </w:p>
    <w:p w14:paraId="1490787C">
      <w:pPr>
        <w:pStyle w:val="7"/>
        <w:rPr>
          <w:rFonts w:hint="eastAsia" w:ascii="仿宋" w:hAnsi="仿宋" w:eastAsia="仿宋" w:cs="仿宋"/>
          <w:color w:val="auto"/>
          <w:sz w:val="28"/>
          <w:szCs w:val="28"/>
        </w:rPr>
      </w:pPr>
      <w:r>
        <w:rPr>
          <w:rFonts w:hint="eastAsia" w:ascii="仿宋" w:hAnsi="仿宋" w:eastAsia="仿宋" w:cs="仿宋"/>
          <w:color w:val="auto"/>
          <w:sz w:val="28"/>
          <w:szCs w:val="28"/>
        </w:rPr>
        <w:t>（四）若甲方的采购需求存在以不合理条件对供应商实行差别待遇、歧视待遇或者其他不符合法律法规规定和政府采购政策规定等内容，乙方对甲方的采购需求提出修改建议或意见。</w:t>
      </w:r>
    </w:p>
    <w:p w14:paraId="51278073">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（五）乙方提供必要的设备和场所，组织活动参与方完成政府采购的评审工作，维持评审纪律，处理突发事件。</w:t>
      </w:r>
    </w:p>
    <w:p w14:paraId="23191BBA">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（六）评审结束后2个工作日内，向甲方发出确定中标（成交）供应商通知书（采购人授权评审小组直接确定中标（成交）供应商除外），并提供评审报告。</w:t>
      </w:r>
    </w:p>
    <w:p w14:paraId="57464F7E">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七）根据甲方依法确定的中标（成交）供应商，在法定时间内在指定媒体上发布中标（成交）公告，并同时向中标（成交）供应商发出中标（成交）通知书。如甲方在收到评审报告5个工作日内未按评审报告推荐的中标（成交）候选供应商顺序书面确定中标（成交）供应商，且未书面向乙方说明情况的，乙方则按评审报告推荐的顺序确定排名第一的中标（成交）候选供应商为中标（成交）供应商（采购文件另有规定的，按采购文件要求确定中标（成交）供应商发布中标（成交）公告）。</w:t>
      </w:r>
    </w:p>
    <w:p w14:paraId="3659605D">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（八）采购活动结束后，乙方将采购项目评审报告、采购文件、投标响应文件等采购项目档案资料移交甲方，按照政府采购相关法律要求留存代理机构应当保存的项目档案资料副本。</w:t>
      </w:r>
    </w:p>
    <w:p w14:paraId="6E5F628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三、甲乙双方共同义务</w:t>
      </w:r>
    </w:p>
    <w:p w14:paraId="48DB7B7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采用资格预审、公开招标方式的项目，甲乙双方根据本协议第一条对“资格预审”和“资格审查”的约定依法对供应商的资格进行审查。如供应商对资格审查结果提出异议的（包括但不限于现场异议、询问、质疑），甲方应依法及时处理。</w:t>
      </w:r>
    </w:p>
    <w:p w14:paraId="2511DD14">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（二）甲乙双方根据本协议第一条对“询问质疑回复”的约定依法处理供应商对采购文件、采购过程、采购结果等内容询问、质疑答复，并在收到询问、质疑等之日起2个工作日内告知对方。</w:t>
      </w:r>
    </w:p>
    <w:p w14:paraId="2869ADE4">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（三）甲乙双方在采购活动中根据项目实际情况可要求对方采购人员依法回避。</w:t>
      </w:r>
    </w:p>
    <w:p w14:paraId="2C03BC67">
      <w:pPr>
        <w:pStyle w:val="7"/>
        <w:rPr>
          <w:rFonts w:hint="eastAsia" w:ascii="仿宋" w:hAnsi="仿宋" w:eastAsia="仿宋" w:cs="仿宋"/>
          <w:color w:val="auto"/>
          <w:sz w:val="28"/>
          <w:szCs w:val="28"/>
        </w:rPr>
      </w:pPr>
      <w:r>
        <w:rPr>
          <w:rFonts w:hint="eastAsia" w:ascii="仿宋" w:hAnsi="仿宋" w:eastAsia="仿宋" w:cs="仿宋"/>
          <w:color w:val="auto"/>
          <w:sz w:val="28"/>
          <w:szCs w:val="28"/>
        </w:rPr>
        <w:t>（四）根据《四川省财政厅关于推进四川省政府采购供应商信用融资工作的通知》（川财采[2018]123号）文件要求，为助力解决政府采购中标、成交供应商资金不足、融资难、融资贵的困难，促进供应商依法诚信参加政府采购活动，甲乙双方为中标成交供应商提供必要的帮助和便利。</w:t>
      </w:r>
    </w:p>
    <w:p w14:paraId="1E512DB3">
      <w:pPr>
        <w:pStyle w:val="7"/>
        <w:rPr>
          <w:rFonts w:hint="eastAsia" w:ascii="仿宋" w:hAnsi="仿宋" w:eastAsia="仿宋" w:cs="仿宋"/>
          <w:color w:val="auto"/>
          <w:sz w:val="28"/>
          <w:szCs w:val="28"/>
        </w:rPr>
      </w:pPr>
      <w:r>
        <w:rPr>
          <w:rFonts w:hint="eastAsia" w:ascii="仿宋" w:hAnsi="仿宋" w:eastAsia="仿宋" w:cs="仿宋"/>
          <w:color w:val="auto"/>
          <w:sz w:val="28"/>
          <w:szCs w:val="28"/>
        </w:rPr>
        <w:t>（五）甲乙双方应对在政府采购活动中知悉的商业秘密、评审情况等没有对外公开的信息保密。</w:t>
      </w:r>
    </w:p>
    <w:p w14:paraId="2E28E7A0">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（六） 甲乙双方有权监督对方及其工作人员在采购过程中的行为，并及时向相关部门政府采购活动中发现的违法、违规、违纪行为，积极配合政府采购监管部门的监督管理工作。</w:t>
      </w:r>
    </w:p>
    <w:p w14:paraId="79AEAB2B">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（七） 甲乙双方及其工作人员应遵守我国法律、法规及规范性文件的规定，尊重对方工作人员、评标委员会成员、参与采购活动的供应商，维护甲方、乙方和供应商的合法权益，维护政府形象。</w:t>
      </w:r>
    </w:p>
    <w:p w14:paraId="5DCAE7E6">
      <w:pPr>
        <w:pStyle w:val="7"/>
        <w:rPr>
          <w:rFonts w:hint="eastAsia" w:ascii="仿宋" w:hAnsi="仿宋" w:eastAsia="仿宋" w:cs="仿宋"/>
          <w:color w:val="auto"/>
          <w:sz w:val="28"/>
          <w:szCs w:val="28"/>
        </w:rPr>
      </w:pPr>
      <w:r>
        <w:rPr>
          <w:rFonts w:hint="eastAsia" w:ascii="仿宋" w:hAnsi="仿宋" w:eastAsia="仿宋" w:cs="仿宋"/>
          <w:color w:val="auto"/>
          <w:sz w:val="28"/>
          <w:szCs w:val="28"/>
        </w:rPr>
        <w:t>（八） 甲方或乙方工作人员不得接受对方或者供应商组织的宴请、旅游、娱乐，不得收受礼品、现金、有价证券等，不得向对方或者供应商报销应当由个人承担的费用。</w:t>
      </w:r>
    </w:p>
    <w:p w14:paraId="2961E12C">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第五条 费用约定</w:t>
      </w:r>
    </w:p>
    <w:p w14:paraId="292CD9D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一、专家评审费用：甲方支付</w:t>
      </w:r>
    </w:p>
    <w:p w14:paraId="5BAF9829">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二、代理服务费：供应商支付，参照《国家发展改革委关于进一步放开建设项目专业服务价格的通知》（发改价格[2015]299号）规定收取，本次采购代理服务费为XXXX元（大写：XX）。</w:t>
      </w:r>
    </w:p>
    <w:p w14:paraId="3B582850">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第六条 违约责任</w:t>
      </w:r>
    </w:p>
    <w:p w14:paraId="749BDDCD">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一、违反本协议约定，造成采购项目难以执行的，由过错方承担相应的违约责任，有违法行为的，承担相应的法律责任。</w:t>
      </w:r>
    </w:p>
    <w:p w14:paraId="617E8425">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二、因甲方采购任务变化导致采购项目延迟实施或终止采购的，或因不可抗力导致乙方不能按时完成受托业务的，甲乙双方应在前述情形发生之日起5个工作日内书面通知对方，并协商解决善后事宜。</w:t>
      </w:r>
    </w:p>
    <w:p w14:paraId="78BD065C">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三、本协议中涉及约定时间期限的，双方应共同遵守，未遵守而造成的后果，由违约方承担责任。</w:t>
      </w:r>
    </w:p>
    <w:p w14:paraId="0745927A">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四、甲乙双方在编制采购文件过程中向对方所提出的修改意见和建议，相对方不予接纳的应予以尊重，但因此产生的法律责任由各方自行承担对应的责任。</w:t>
      </w:r>
    </w:p>
    <w:p w14:paraId="22FE1EA6">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第七条 协议的变更、解除及终止</w:t>
      </w:r>
    </w:p>
    <w:p w14:paraId="0A5527CF">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一、甲乙双方在协商一致的情况下，可以在法律、法规及规范性文件许可的范围内对本协议内容予与变更，并签订补充协议。补充协议为本协议的有效组成部分。</w:t>
      </w:r>
    </w:p>
    <w:p w14:paraId="0CE2582A">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二、发生下列情形之一，本协议解除</w:t>
      </w:r>
    </w:p>
    <w:p w14:paraId="0B6D7D07">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（一）若因政策、不可抗力及其他事由，在法律、法规及规范性文件许可的情况下，甲乙双方协商解除本协议。</w:t>
      </w:r>
    </w:p>
    <w:p w14:paraId="3FC43380">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（二）若因政策、不可抗力、废标及其他事由，甲方取消本协议项下的采购项目，则本协议解除。</w:t>
      </w:r>
    </w:p>
    <w:p w14:paraId="353C0D6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若甲方采购审批手续不合规，或者甲方采购需求等指定供应商、指定采购标的品牌或生产厂家、制定排他性技术参数或指标或方案、含有倾向性或者排斥潜在投标(报价)供应商的要求违反采购相关规定，经乙方指正后若甲方执意坚持不改，则乙方有权单方解除本协议。</w:t>
      </w:r>
    </w:p>
    <w:p w14:paraId="64556139">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（四）甲方或者乙方有严重的违法行为，则对方有权单方解除本协议。</w:t>
      </w:r>
    </w:p>
    <w:p w14:paraId="7D5831AA">
      <w:pPr>
        <w:pStyle w:val="7"/>
        <w:ind w:firstLine="42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第八条 其他事项</w:t>
      </w:r>
    </w:p>
    <w:p w14:paraId="4998C1DB">
      <w:pPr>
        <w:pStyle w:val="7"/>
        <w:rPr>
          <w:rFonts w:hint="eastAsia" w:ascii="仿宋" w:hAnsi="仿宋" w:eastAsia="仿宋" w:cs="仿宋"/>
          <w:color w:val="auto"/>
          <w:sz w:val="28"/>
          <w:szCs w:val="28"/>
        </w:rPr>
      </w:pPr>
      <w:r>
        <w:rPr>
          <w:rFonts w:hint="eastAsia" w:ascii="仿宋" w:hAnsi="仿宋" w:eastAsia="仿宋" w:cs="仿宋"/>
          <w:color w:val="auto"/>
          <w:sz w:val="28"/>
          <w:szCs w:val="28"/>
        </w:rPr>
        <w:t>一、甲乙双方应本着密切协作、加强沟通、精心组织、保证质量、提高效率的原则，严格按照政府采购相关法律法规规定组织和开展各项工作。其他需双方共同协商解决的问题，双方应及时进行协商。</w:t>
      </w:r>
    </w:p>
    <w:p w14:paraId="6F4FE05D">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二、本协议由甲乙双方加盖公章后生效。</w:t>
      </w:r>
    </w:p>
    <w:p w14:paraId="2AD6497B">
      <w:pPr>
        <w:pStyle w:val="7"/>
        <w:ind w:firstLine="480"/>
        <w:rPr>
          <w:rFonts w:hint="eastAsia" w:ascii="仿宋" w:hAnsi="仿宋" w:eastAsia="仿宋" w:cs="仿宋"/>
          <w:color w:val="auto"/>
          <w:sz w:val="28"/>
          <w:szCs w:val="28"/>
        </w:rPr>
      </w:pPr>
      <w:r>
        <w:rPr>
          <w:rFonts w:hint="eastAsia" w:ascii="仿宋" w:hAnsi="仿宋" w:eastAsia="仿宋" w:cs="仿宋"/>
          <w:color w:val="auto"/>
          <w:sz w:val="28"/>
          <w:szCs w:val="28"/>
        </w:rPr>
        <w:t>三、本协议一式两份，甲乙双方各执一份，具有同等法律效力。</w:t>
      </w:r>
    </w:p>
    <w:p w14:paraId="54ACFA5D">
      <w:pPr>
        <w:ind w:left="557" w:leftChars="174"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甲方：乐山市经济和信息化局网</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地址：乐山市市中区郑坝街96号</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邮编：614000</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签订时间：</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甲方公章： </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XXX</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XXX</w:t>
      </w:r>
    </w:p>
    <w:p w14:paraId="794A8AE3">
      <w:pPr>
        <w:ind w:left="557" w:leftChars="174" w:firstLine="0" w:firstLineChars="0"/>
        <w:rPr>
          <w:rFonts w:hint="eastAsia"/>
          <w:color w:val="auto"/>
          <w:lang w:val="en-US" w:eastAsia="zh-CN"/>
        </w:rPr>
      </w:pPr>
      <w:r>
        <w:rPr>
          <w:rFonts w:hint="eastAsia" w:ascii="仿宋" w:hAnsi="仿宋" w:eastAsia="仿宋" w:cs="仿宋"/>
          <w:color w:val="auto"/>
          <w:sz w:val="28"/>
          <w:szCs w:val="28"/>
        </w:rPr>
        <w:t>邮编：</w:t>
      </w:r>
      <w:r>
        <w:rPr>
          <w:rFonts w:hint="eastAsia" w:ascii="仿宋" w:hAnsi="仿宋" w:eastAsia="仿宋" w:cs="仿宋"/>
          <w:color w:val="auto"/>
          <w:sz w:val="28"/>
          <w:szCs w:val="28"/>
          <w:lang w:val="en-US" w:eastAsia="zh-CN"/>
        </w:rPr>
        <w:t>XXXX</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签订时间：</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乙方公章：</w:t>
      </w:r>
      <w:r>
        <w:rPr>
          <w:rFonts w:hint="eastAsia" w:ascii="仿宋" w:hAnsi="仿宋" w:eastAsia="仿宋" w:cs="仿宋"/>
          <w:color w:val="auto"/>
          <w:sz w:val="28"/>
          <w:szCs w:val="28"/>
        </w:rPr>
        <w:br w:type="textWrapping"/>
      </w:r>
    </w:p>
    <w:p w14:paraId="0EE004BE">
      <w:bookmarkStart w:id="0" w:name="_GoBack"/>
      <w:bookmarkEnd w:id="0"/>
    </w:p>
    <w:sectPr>
      <w:footerReference r:id="rId5" w:type="default"/>
      <w:pgSz w:w="11906" w:h="16838"/>
      <w:pgMar w:top="2098" w:right="1474" w:bottom="1984" w:left="1587" w:header="850" w:footer="153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4942">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D621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3D621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73D99"/>
    <w:rsid w:val="2C37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spacing w:line="554" w:lineRule="exact"/>
      <w:ind w:firstLine="420" w:firstLineChars="200"/>
      <w:jc w:val="both"/>
    </w:pPr>
    <w:rPr>
      <w:rFonts w:ascii="仿宋_GB2312" w:hAnsi="仿宋_GB2312" w:eastAsia="仿宋_GB2312" w:cs="Times New Roman"/>
      <w:color w:val="auto"/>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3">
    <w:name w:val="annotation text"/>
    <w:basedOn w:val="1"/>
    <w:uiPriority w:val="0"/>
    <w:pPr>
      <w:jc w:val="left"/>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2024-12-31T02:17:00Z</dcterms:created>
  <dc:creator>天蒙蒙</dc:creator>
  <cp:lastModifiedBy>天蒙蒙</cp:lastModifiedBy>
  <dcterms:modified xsi:type="dcterms:W3CDTF">2024-12-31T04:55:41Z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F538359FC7DA4459952B2A29EF8C65A6_11</vt:lpwstr>
  </property>
  <property fmtid="{D5CDD505-2E9C-101B-9397-08002B2CF9AE}" pid="4" name="KSOTemplateDocerSaveRecord">
    <vt:lpwstr>eyJoZGlkIjoiYjI4OTE2ZjQ0NWJhZmYwZjE2YTc1NGNmMmY4YzJjMTQiLCJ1c2VySWQiOiIxMTU4ODA1NTY2In0=</vt:lpwstr>
  </property>
</Properties>
</file>